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DBC" w:rsidRDefault="00912DBC" w:rsidP="00912DBC">
      <w:pPr>
        <w:spacing w:line="480" w:lineRule="auto"/>
        <w:ind w:firstLine="720"/>
        <w:rPr>
          <w:rFonts w:ascii="Times New Roman" w:hAnsi="Times New Roman" w:cs="Times New Roman"/>
          <w:sz w:val="24"/>
          <w:szCs w:val="24"/>
        </w:rPr>
      </w:pPr>
    </w:p>
    <w:p w:rsidR="000604A8" w:rsidRDefault="000604A8" w:rsidP="00912DBC">
      <w:pPr>
        <w:spacing w:line="480" w:lineRule="auto"/>
        <w:ind w:firstLine="720"/>
        <w:jc w:val="center"/>
        <w:rPr>
          <w:rFonts w:ascii="Times New Roman" w:hAnsi="Times New Roman" w:cs="Times New Roman"/>
          <w:b/>
          <w:sz w:val="24"/>
          <w:szCs w:val="24"/>
        </w:rPr>
      </w:pPr>
    </w:p>
    <w:p w:rsidR="000604A8" w:rsidRDefault="000604A8" w:rsidP="00912DBC">
      <w:pPr>
        <w:spacing w:line="480" w:lineRule="auto"/>
        <w:ind w:firstLine="720"/>
        <w:jc w:val="center"/>
        <w:rPr>
          <w:rFonts w:ascii="Times New Roman" w:hAnsi="Times New Roman" w:cs="Times New Roman"/>
          <w:b/>
          <w:sz w:val="24"/>
          <w:szCs w:val="24"/>
        </w:rPr>
      </w:pPr>
    </w:p>
    <w:p w:rsidR="000604A8" w:rsidRDefault="000604A8" w:rsidP="00912DBC">
      <w:pPr>
        <w:spacing w:line="480" w:lineRule="auto"/>
        <w:ind w:firstLine="720"/>
        <w:jc w:val="center"/>
        <w:rPr>
          <w:rFonts w:ascii="Times New Roman" w:hAnsi="Times New Roman" w:cs="Times New Roman"/>
          <w:b/>
          <w:sz w:val="24"/>
          <w:szCs w:val="24"/>
        </w:rPr>
      </w:pPr>
      <w:bookmarkStart w:id="0" w:name="_GoBack"/>
      <w:bookmarkEnd w:id="0"/>
    </w:p>
    <w:p w:rsidR="000604A8" w:rsidRDefault="000604A8" w:rsidP="00912DBC">
      <w:pPr>
        <w:spacing w:line="480" w:lineRule="auto"/>
        <w:ind w:firstLine="720"/>
        <w:jc w:val="center"/>
        <w:rPr>
          <w:rFonts w:ascii="Times New Roman" w:hAnsi="Times New Roman" w:cs="Times New Roman"/>
          <w:b/>
          <w:sz w:val="24"/>
          <w:szCs w:val="24"/>
        </w:rPr>
      </w:pPr>
    </w:p>
    <w:p w:rsidR="00912DBC" w:rsidRPr="00912DBC" w:rsidRDefault="00912DBC" w:rsidP="00912DB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Pathophysiology o</w:t>
      </w:r>
      <w:r w:rsidRPr="00912DBC">
        <w:rPr>
          <w:rFonts w:ascii="Times New Roman" w:hAnsi="Times New Roman" w:cs="Times New Roman"/>
          <w:b/>
          <w:sz w:val="24"/>
          <w:szCs w:val="24"/>
        </w:rPr>
        <w:t>f</w:t>
      </w:r>
      <w:r>
        <w:rPr>
          <w:rFonts w:ascii="Times New Roman" w:hAnsi="Times New Roman" w:cs="Times New Roman"/>
          <w:b/>
          <w:sz w:val="24"/>
          <w:szCs w:val="24"/>
        </w:rPr>
        <w:t xml:space="preserve"> Peptic Ulcer Disease Compared t</w:t>
      </w:r>
      <w:r w:rsidRPr="00912DBC">
        <w:rPr>
          <w:rFonts w:ascii="Times New Roman" w:hAnsi="Times New Roman" w:cs="Times New Roman"/>
          <w:b/>
          <w:sz w:val="24"/>
          <w:szCs w:val="24"/>
        </w:rPr>
        <w:t>o GERD.</w:t>
      </w:r>
    </w:p>
    <w:p w:rsidR="00912DBC" w:rsidRPr="00912DBC" w:rsidRDefault="00912DBC" w:rsidP="00912DBC">
      <w:pPr>
        <w:spacing w:line="480" w:lineRule="auto"/>
        <w:ind w:firstLine="720"/>
        <w:jc w:val="center"/>
        <w:rPr>
          <w:rFonts w:ascii="Times New Roman" w:hAnsi="Times New Roman" w:cs="Times New Roman"/>
          <w:sz w:val="24"/>
          <w:szCs w:val="24"/>
        </w:rPr>
      </w:pPr>
      <w:r w:rsidRPr="00912DBC">
        <w:rPr>
          <w:rFonts w:ascii="Times New Roman" w:hAnsi="Times New Roman" w:cs="Times New Roman"/>
          <w:sz w:val="24"/>
          <w:szCs w:val="24"/>
        </w:rPr>
        <w:t>Student’s name.</w:t>
      </w:r>
    </w:p>
    <w:p w:rsidR="00912DBC" w:rsidRPr="00912DBC" w:rsidRDefault="00912DBC" w:rsidP="00912DBC">
      <w:pPr>
        <w:spacing w:line="480" w:lineRule="auto"/>
        <w:ind w:firstLine="720"/>
        <w:jc w:val="center"/>
        <w:rPr>
          <w:rFonts w:ascii="Times New Roman" w:hAnsi="Times New Roman" w:cs="Times New Roman"/>
          <w:sz w:val="24"/>
          <w:szCs w:val="24"/>
        </w:rPr>
      </w:pPr>
      <w:r w:rsidRPr="00912DBC">
        <w:rPr>
          <w:rFonts w:ascii="Times New Roman" w:hAnsi="Times New Roman" w:cs="Times New Roman"/>
          <w:sz w:val="24"/>
          <w:szCs w:val="24"/>
        </w:rPr>
        <w:t>Institutional affiliation.</w:t>
      </w:r>
    </w:p>
    <w:p w:rsidR="00912DBC" w:rsidRPr="00912DBC" w:rsidRDefault="0096124C" w:rsidP="0096124C">
      <w:pPr>
        <w:tabs>
          <w:tab w:val="left" w:pos="138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12DBC" w:rsidRPr="00912DBC">
        <w:rPr>
          <w:rFonts w:ascii="Times New Roman" w:hAnsi="Times New Roman" w:cs="Times New Roman"/>
          <w:sz w:val="24"/>
          <w:szCs w:val="24"/>
        </w:rPr>
        <w:t>Course-name.</w:t>
      </w:r>
    </w:p>
    <w:p w:rsidR="00912DBC" w:rsidRPr="00912DBC" w:rsidRDefault="00912DBC" w:rsidP="00912DBC">
      <w:pPr>
        <w:spacing w:line="480" w:lineRule="auto"/>
        <w:ind w:firstLine="720"/>
        <w:jc w:val="center"/>
        <w:rPr>
          <w:rFonts w:ascii="Times New Roman" w:hAnsi="Times New Roman" w:cs="Times New Roman"/>
          <w:sz w:val="24"/>
          <w:szCs w:val="24"/>
        </w:rPr>
      </w:pPr>
      <w:r w:rsidRPr="00912DBC">
        <w:rPr>
          <w:rFonts w:ascii="Times New Roman" w:hAnsi="Times New Roman" w:cs="Times New Roman"/>
          <w:sz w:val="24"/>
          <w:szCs w:val="24"/>
        </w:rPr>
        <w:t>Course number.</w:t>
      </w:r>
    </w:p>
    <w:p w:rsidR="00912DBC" w:rsidRDefault="00912DBC" w:rsidP="00912DBC">
      <w:pPr>
        <w:spacing w:line="480" w:lineRule="auto"/>
        <w:ind w:firstLine="720"/>
        <w:jc w:val="center"/>
        <w:rPr>
          <w:rFonts w:ascii="Times New Roman" w:hAnsi="Times New Roman" w:cs="Times New Roman"/>
          <w:sz w:val="24"/>
          <w:szCs w:val="24"/>
        </w:rPr>
      </w:pPr>
      <w:r w:rsidRPr="00912DBC">
        <w:rPr>
          <w:rFonts w:ascii="Times New Roman" w:hAnsi="Times New Roman" w:cs="Times New Roman"/>
          <w:sz w:val="24"/>
          <w:szCs w:val="24"/>
        </w:rPr>
        <w:t>Date of submission</w:t>
      </w: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912DBC" w:rsidRDefault="00912DBC" w:rsidP="00912DBC">
      <w:pPr>
        <w:spacing w:line="480" w:lineRule="auto"/>
        <w:rPr>
          <w:rFonts w:ascii="Times New Roman" w:hAnsi="Times New Roman" w:cs="Times New Roman"/>
          <w:sz w:val="24"/>
          <w:szCs w:val="24"/>
        </w:rPr>
      </w:pPr>
    </w:p>
    <w:p w:rsidR="00912DBC" w:rsidRDefault="00912DBC" w:rsidP="00912DBC">
      <w:pPr>
        <w:spacing w:line="480" w:lineRule="auto"/>
        <w:ind w:firstLine="720"/>
        <w:rPr>
          <w:rFonts w:ascii="Times New Roman" w:hAnsi="Times New Roman" w:cs="Times New Roman"/>
          <w:sz w:val="24"/>
          <w:szCs w:val="24"/>
        </w:rPr>
      </w:pPr>
    </w:p>
    <w:p w:rsidR="00273E6F" w:rsidRPr="00912DBC" w:rsidRDefault="006C28FB" w:rsidP="00912DBC">
      <w:pPr>
        <w:spacing w:line="480" w:lineRule="auto"/>
        <w:ind w:firstLine="720"/>
        <w:rPr>
          <w:rFonts w:ascii="Times New Roman" w:hAnsi="Times New Roman" w:cs="Times New Roman"/>
          <w:sz w:val="24"/>
          <w:szCs w:val="24"/>
        </w:rPr>
      </w:pPr>
      <w:r w:rsidRPr="00912DBC">
        <w:rPr>
          <w:rFonts w:ascii="Times New Roman" w:hAnsi="Times New Roman" w:cs="Times New Roman"/>
          <w:sz w:val="24"/>
          <w:szCs w:val="24"/>
        </w:rPr>
        <w:t>Zatorski, (2017) argues that a</w:t>
      </w:r>
      <w:r w:rsidR="0097428B" w:rsidRPr="00912DBC">
        <w:rPr>
          <w:rFonts w:ascii="Times New Roman" w:hAnsi="Times New Roman" w:cs="Times New Roman"/>
          <w:sz w:val="24"/>
          <w:szCs w:val="24"/>
        </w:rPr>
        <w:t xml:space="preserve">bdominal pain and other abdomen symptoms cause discomfort to an individual and call for change in behavior, especially diet lifestyle. The case study illustrates two different individuals who have similar symptoms, but different diseases cause them. Such similar symptoms may lead to the wrong diagnosis if the wrong testing is done. Therefore, it is important to develop the best testing approach that can facilitate the identification of which abdominal infection that one is suffering from. </w:t>
      </w:r>
      <w:r w:rsidR="009239F1" w:rsidRPr="00912DBC">
        <w:rPr>
          <w:rFonts w:ascii="Times New Roman" w:hAnsi="Times New Roman" w:cs="Times New Roman"/>
          <w:sz w:val="24"/>
          <w:szCs w:val="24"/>
        </w:rPr>
        <w:t>This essay answers questions about two abdominal illness, peptic ulcer disease, and GERD. The paper will be comparing the pathophysiology of each of the diseases and compare them to each other. It will also provide a discussion about the best diagnostic approach that can be used in the treatment of such diseases.</w:t>
      </w:r>
    </w:p>
    <w:p w:rsidR="009239F1" w:rsidRPr="00912DBC" w:rsidRDefault="0097428B" w:rsidP="00912DBC">
      <w:pPr>
        <w:spacing w:line="480" w:lineRule="auto"/>
        <w:ind w:firstLine="720"/>
        <w:rPr>
          <w:rFonts w:ascii="Times New Roman" w:hAnsi="Times New Roman" w:cs="Times New Roman"/>
          <w:sz w:val="24"/>
          <w:szCs w:val="24"/>
        </w:rPr>
      </w:pPr>
      <w:r w:rsidRPr="00912DBC">
        <w:rPr>
          <w:rFonts w:ascii="Times New Roman" w:hAnsi="Times New Roman" w:cs="Times New Roman"/>
          <w:sz w:val="24"/>
          <w:szCs w:val="24"/>
        </w:rPr>
        <w:t xml:space="preserve">Peptic ulcers are </w:t>
      </w:r>
      <w:r w:rsidR="00054FD1" w:rsidRPr="00912DBC">
        <w:rPr>
          <w:rFonts w:ascii="Times New Roman" w:hAnsi="Times New Roman" w:cs="Times New Roman"/>
          <w:sz w:val="24"/>
          <w:szCs w:val="24"/>
        </w:rPr>
        <w:t xml:space="preserve">a situation where gastric </w:t>
      </w:r>
      <w:r w:rsidRPr="00912DBC">
        <w:rPr>
          <w:rFonts w:ascii="Times New Roman" w:hAnsi="Times New Roman" w:cs="Times New Roman"/>
          <w:sz w:val="24"/>
          <w:szCs w:val="24"/>
        </w:rPr>
        <w:t xml:space="preserve">defects develop some open sores inside and generate such symptoms experienced in the </w:t>
      </w:r>
      <w:r w:rsidR="00054FD1" w:rsidRPr="00912DBC">
        <w:rPr>
          <w:rFonts w:ascii="Times New Roman" w:hAnsi="Times New Roman" w:cs="Times New Roman"/>
          <w:sz w:val="24"/>
          <w:szCs w:val="24"/>
        </w:rPr>
        <w:t xml:space="preserve">case study. Therefore, this causes irritation that makes the epithelial cells in the stomach release mucus in response to the irritation and stimulation of cholinergic. Thus, the stomach has its mechanism of responding to the changes in the alimentary canal to ensure that each of the functions is not affected by such situations. The gastric's upper surface has </w:t>
      </w:r>
      <w:r w:rsidR="00256CB3" w:rsidRPr="00912DBC">
        <w:rPr>
          <w:rFonts w:ascii="Times New Roman" w:hAnsi="Times New Roman" w:cs="Times New Roman"/>
          <w:sz w:val="24"/>
          <w:szCs w:val="24"/>
        </w:rPr>
        <w:t xml:space="preserve">a gel layer that cannot be penetrated by acid and pepsin. Other gastric have another mechanism of releasing bicarbonate that ensures that the acid does not enter the stomach. There are mechanisms in place to aid in reducing injury when pepsin and acid </w:t>
      </w:r>
      <w:r w:rsidR="006C28FB" w:rsidRPr="00912DBC">
        <w:rPr>
          <w:rFonts w:ascii="Times New Roman" w:hAnsi="Times New Roman" w:cs="Times New Roman"/>
          <w:sz w:val="24"/>
          <w:szCs w:val="24"/>
        </w:rPr>
        <w:t>penetrate the epithelial cells (Kuna et al, 2019).</w:t>
      </w:r>
    </w:p>
    <w:p w:rsidR="00256CB3" w:rsidRPr="00912DBC" w:rsidRDefault="006C28FB" w:rsidP="00912DBC">
      <w:pPr>
        <w:spacing w:line="480" w:lineRule="auto"/>
        <w:ind w:firstLine="720"/>
        <w:rPr>
          <w:rFonts w:ascii="Times New Roman" w:hAnsi="Times New Roman" w:cs="Times New Roman"/>
          <w:sz w:val="24"/>
          <w:szCs w:val="24"/>
        </w:rPr>
      </w:pPr>
      <w:r w:rsidRPr="00912DBC">
        <w:rPr>
          <w:rFonts w:ascii="Times New Roman" w:hAnsi="Times New Roman" w:cs="Times New Roman"/>
          <w:sz w:val="24"/>
          <w:szCs w:val="24"/>
        </w:rPr>
        <w:lastRenderedPageBreak/>
        <w:t>According to Herregods, (2015) GERD</w:t>
      </w:r>
      <w:r w:rsidR="0097428B" w:rsidRPr="00912DBC">
        <w:rPr>
          <w:rFonts w:ascii="Times New Roman" w:hAnsi="Times New Roman" w:cs="Times New Roman"/>
          <w:sz w:val="24"/>
          <w:szCs w:val="24"/>
        </w:rPr>
        <w:t xml:space="preserve"> pathogenesis involves the change in reflux exposure, the resistance of the epithelial lining, and the visceral's sensitivity.</w:t>
      </w:r>
      <w:r w:rsidR="002C5836" w:rsidRPr="00912DBC">
        <w:rPr>
          <w:rFonts w:ascii="Times New Roman" w:hAnsi="Times New Roman" w:cs="Times New Roman"/>
          <w:sz w:val="24"/>
          <w:szCs w:val="24"/>
        </w:rPr>
        <w:t xml:space="preserve"> The food pipe is exposed to gastric refluxate and is the main issue that determines how severe the disease will be to the exposed individual.</w:t>
      </w:r>
      <w:r w:rsidR="001428FC" w:rsidRPr="00912DBC">
        <w:rPr>
          <w:rFonts w:ascii="Times New Roman" w:hAnsi="Times New Roman" w:cs="Times New Roman"/>
          <w:sz w:val="24"/>
          <w:szCs w:val="24"/>
        </w:rPr>
        <w:t xml:space="preserve"> The barrier that has been compromised, leading to the exposure of the esophagus. It was unable to protect itself from the </w:t>
      </w:r>
      <w:r w:rsidR="00E8631F" w:rsidRPr="00912DBC">
        <w:rPr>
          <w:rFonts w:ascii="Times New Roman" w:hAnsi="Times New Roman" w:cs="Times New Roman"/>
          <w:sz w:val="24"/>
          <w:szCs w:val="24"/>
        </w:rPr>
        <w:t>refluxate</w:t>
      </w:r>
      <w:r w:rsidR="001428FC" w:rsidRPr="00912DBC">
        <w:rPr>
          <w:rFonts w:ascii="Times New Roman" w:hAnsi="Times New Roman" w:cs="Times New Roman"/>
          <w:sz w:val="24"/>
          <w:szCs w:val="24"/>
        </w:rPr>
        <w:t>, and hence one suffers from the disease. The symptoms of the disease sometimes lead to complications, and this results in the normal reflux</w:t>
      </w:r>
      <w:r w:rsidR="00E8631F" w:rsidRPr="00912DBC">
        <w:rPr>
          <w:rFonts w:ascii="Times New Roman" w:hAnsi="Times New Roman" w:cs="Times New Roman"/>
          <w:sz w:val="24"/>
          <w:szCs w:val="24"/>
        </w:rPr>
        <w:t xml:space="preserve"> burden. In a situation where the resistance of the epithelium is poor also increases visceral sensitivity. Therefore, the disease develops through the alterations that exist in the process of balancing the aggressive and defensive forces. The pressure between the LES and the intragastric pressure determines the occurrence of the disease.  </w:t>
      </w:r>
    </w:p>
    <w:p w:rsidR="00E8631F" w:rsidRPr="00912DBC" w:rsidRDefault="0097428B" w:rsidP="00912DBC">
      <w:pPr>
        <w:spacing w:line="480" w:lineRule="auto"/>
        <w:ind w:firstLine="720"/>
        <w:rPr>
          <w:rFonts w:ascii="Times New Roman" w:hAnsi="Times New Roman" w:cs="Times New Roman"/>
          <w:sz w:val="24"/>
          <w:szCs w:val="24"/>
        </w:rPr>
      </w:pPr>
      <w:r w:rsidRPr="00912DBC">
        <w:rPr>
          <w:rFonts w:ascii="Times New Roman" w:hAnsi="Times New Roman" w:cs="Times New Roman"/>
          <w:sz w:val="24"/>
          <w:szCs w:val="24"/>
        </w:rPr>
        <w:t>Each of the two disease</w:t>
      </w:r>
      <w:r w:rsidR="00E57189" w:rsidRPr="00912DBC">
        <w:rPr>
          <w:rFonts w:ascii="Times New Roman" w:hAnsi="Times New Roman" w:cs="Times New Roman"/>
          <w:sz w:val="24"/>
          <w:szCs w:val="24"/>
        </w:rPr>
        <w:t>s</w:t>
      </w:r>
      <w:r w:rsidRPr="00912DBC">
        <w:rPr>
          <w:rFonts w:ascii="Times New Roman" w:hAnsi="Times New Roman" w:cs="Times New Roman"/>
          <w:sz w:val="24"/>
          <w:szCs w:val="24"/>
        </w:rPr>
        <w:t xml:space="preserve"> </w:t>
      </w:r>
      <w:r w:rsidR="00912DBC" w:rsidRPr="00912DBC">
        <w:rPr>
          <w:rFonts w:ascii="Times New Roman" w:hAnsi="Times New Roman" w:cs="Times New Roman"/>
          <w:sz w:val="24"/>
          <w:szCs w:val="24"/>
        </w:rPr>
        <w:t>has</w:t>
      </w:r>
      <w:r w:rsidRPr="00912DBC">
        <w:rPr>
          <w:rFonts w:ascii="Times New Roman" w:hAnsi="Times New Roman" w:cs="Times New Roman"/>
          <w:sz w:val="24"/>
          <w:szCs w:val="24"/>
        </w:rPr>
        <w:t xml:space="preserve"> some common symptoms that individuals suffering from any of the disease faces. The GERD infection has some symptoms, including chest pains, difficulty swallowing, and a burning sensation </w:t>
      </w:r>
      <w:r w:rsidR="00316D06" w:rsidRPr="00912DBC">
        <w:rPr>
          <w:rFonts w:ascii="Times New Roman" w:hAnsi="Times New Roman" w:cs="Times New Roman"/>
          <w:sz w:val="24"/>
          <w:szCs w:val="24"/>
        </w:rPr>
        <w:t xml:space="preserve">that seems like heartburn. From the case study, the chest burning and other abdomen's discomfort can be attributed to the disease. </w:t>
      </w:r>
      <w:r w:rsidR="00C36F4E" w:rsidRPr="00912DBC">
        <w:rPr>
          <w:rFonts w:ascii="Times New Roman" w:hAnsi="Times New Roman" w:cs="Times New Roman"/>
          <w:sz w:val="24"/>
          <w:szCs w:val="24"/>
        </w:rPr>
        <w:t>Some of the symptoms of peptic ulcers have been experienced in the case study. Some of the peptic ulcer symptoms include the pain in the stomach, heartburn, and loss of appetite. The discomforts that cause one to even wake up at night are due to the pain and heartburn.</w:t>
      </w:r>
    </w:p>
    <w:p w:rsidR="00C36F4E" w:rsidRPr="00912DBC" w:rsidRDefault="0097428B" w:rsidP="00912DBC">
      <w:pPr>
        <w:spacing w:line="480" w:lineRule="auto"/>
        <w:ind w:firstLine="720"/>
        <w:rPr>
          <w:rFonts w:ascii="Times New Roman" w:hAnsi="Times New Roman" w:cs="Times New Roman"/>
          <w:sz w:val="24"/>
          <w:szCs w:val="24"/>
        </w:rPr>
      </w:pPr>
      <w:r w:rsidRPr="00912DBC">
        <w:rPr>
          <w:rFonts w:ascii="Times New Roman" w:hAnsi="Times New Roman" w:cs="Times New Roman"/>
          <w:sz w:val="24"/>
          <w:szCs w:val="24"/>
        </w:rPr>
        <w:t xml:space="preserve">Individuals in the case study should ensure that they visit a healthcare provider to conduct tests upon which the diagnosis can be made. Although the first aid mechanisms are important to reduce discomfort, the symptoms' persistence should ensure they get tested. Healthcare providers have various testing that they can conduct to ascertain the disease, which is the individuals in the case study are running. Blood tests should be conducted on the patients and determine if they are </w:t>
      </w:r>
      <w:r w:rsidRPr="00912DBC">
        <w:rPr>
          <w:rFonts w:ascii="Times New Roman" w:hAnsi="Times New Roman" w:cs="Times New Roman"/>
          <w:sz w:val="24"/>
          <w:szCs w:val="24"/>
        </w:rPr>
        <w:lastRenderedPageBreak/>
        <w:t xml:space="preserve">exposed to the bacteria causing the disease. Another test that can be conducted is the barium study and involves taking X-rays in the alimental canal to </w:t>
      </w:r>
      <w:r w:rsidR="00DB1AF7" w:rsidRPr="00912DBC">
        <w:rPr>
          <w:rFonts w:ascii="Times New Roman" w:hAnsi="Times New Roman" w:cs="Times New Roman"/>
          <w:sz w:val="24"/>
          <w:szCs w:val="24"/>
        </w:rPr>
        <w:t xml:space="preserve">determine whether one has ulcers. </w:t>
      </w:r>
    </w:p>
    <w:p w:rsidR="00E8631F" w:rsidRPr="00912DBC" w:rsidRDefault="00E8631F" w:rsidP="00912DBC">
      <w:pPr>
        <w:spacing w:line="480" w:lineRule="auto"/>
        <w:rPr>
          <w:rFonts w:ascii="Times New Roman" w:hAnsi="Times New Roman" w:cs="Times New Roman"/>
          <w:sz w:val="24"/>
          <w:szCs w:val="24"/>
        </w:rPr>
      </w:pPr>
    </w:p>
    <w:p w:rsidR="00912DBC" w:rsidRDefault="00912DBC" w:rsidP="009F40FE"/>
    <w:p w:rsidR="00912DBC" w:rsidRDefault="00912DBC" w:rsidP="00912DBC">
      <w:pPr>
        <w:spacing w:line="480" w:lineRule="auto"/>
        <w:rPr>
          <w:rFonts w:ascii="Times New Roman" w:hAnsi="Times New Roman" w:cs="Times New Roman"/>
          <w:sz w:val="24"/>
          <w:szCs w:val="24"/>
        </w:rPr>
      </w:pPr>
    </w:p>
    <w:p w:rsidR="00256CB3" w:rsidRPr="00912DBC" w:rsidRDefault="006C28FB" w:rsidP="00912DBC">
      <w:pPr>
        <w:spacing w:line="480" w:lineRule="auto"/>
        <w:jc w:val="center"/>
        <w:rPr>
          <w:rFonts w:ascii="Times New Roman" w:hAnsi="Times New Roman" w:cs="Times New Roman"/>
          <w:sz w:val="24"/>
          <w:szCs w:val="24"/>
        </w:rPr>
      </w:pPr>
      <w:r w:rsidRPr="00912DBC">
        <w:rPr>
          <w:rFonts w:ascii="Times New Roman" w:hAnsi="Times New Roman" w:cs="Times New Roman"/>
          <w:sz w:val="24"/>
          <w:szCs w:val="24"/>
        </w:rPr>
        <w:t>REFERENCES.</w:t>
      </w:r>
    </w:p>
    <w:p w:rsidR="00912DBC" w:rsidRPr="009F40FE" w:rsidRDefault="00912DBC" w:rsidP="00912DBC">
      <w:pPr>
        <w:spacing w:line="480" w:lineRule="auto"/>
        <w:ind w:left="720" w:hanging="720"/>
        <w:rPr>
          <w:rFonts w:ascii="Times New Roman" w:hAnsi="Times New Roman" w:cs="Times New Roman"/>
          <w:i/>
          <w:sz w:val="24"/>
          <w:szCs w:val="24"/>
        </w:rPr>
      </w:pPr>
      <w:r w:rsidRPr="009F40FE">
        <w:rPr>
          <w:rFonts w:ascii="Times New Roman" w:hAnsi="Times New Roman" w:cs="Times New Roman"/>
          <w:i/>
          <w:sz w:val="24"/>
          <w:szCs w:val="24"/>
        </w:rPr>
        <w:t xml:space="preserve">Herregods, T. V. K., Bredenoord, A. J., &amp; </w:t>
      </w:r>
      <w:proofErr w:type="spellStart"/>
      <w:r w:rsidRPr="009F40FE">
        <w:rPr>
          <w:rFonts w:ascii="Times New Roman" w:hAnsi="Times New Roman" w:cs="Times New Roman"/>
          <w:i/>
          <w:sz w:val="24"/>
          <w:szCs w:val="24"/>
        </w:rPr>
        <w:t>Smout</w:t>
      </w:r>
      <w:proofErr w:type="spellEnd"/>
      <w:r w:rsidRPr="009F40FE">
        <w:rPr>
          <w:rFonts w:ascii="Times New Roman" w:hAnsi="Times New Roman" w:cs="Times New Roman"/>
          <w:i/>
          <w:sz w:val="24"/>
          <w:szCs w:val="24"/>
        </w:rPr>
        <w:t>, A. J. P. M. (2015). Pathophysiology of gastro esophageal reflux disease: new understanding in a new era. </w:t>
      </w:r>
      <w:r w:rsidRPr="009F40FE">
        <w:rPr>
          <w:rFonts w:ascii="Times New Roman" w:hAnsi="Times New Roman" w:cs="Times New Roman"/>
          <w:i/>
          <w:iCs/>
          <w:sz w:val="24"/>
          <w:szCs w:val="24"/>
        </w:rPr>
        <w:t>Neurogastroenterology &amp; Motility</w:t>
      </w:r>
      <w:r w:rsidRPr="009F40FE">
        <w:rPr>
          <w:rFonts w:ascii="Times New Roman" w:hAnsi="Times New Roman" w:cs="Times New Roman"/>
          <w:i/>
          <w:sz w:val="24"/>
          <w:szCs w:val="24"/>
        </w:rPr>
        <w:t>, </w:t>
      </w:r>
      <w:r w:rsidRPr="009F40FE">
        <w:rPr>
          <w:rFonts w:ascii="Times New Roman" w:hAnsi="Times New Roman" w:cs="Times New Roman"/>
          <w:i/>
          <w:iCs/>
          <w:sz w:val="24"/>
          <w:szCs w:val="24"/>
        </w:rPr>
        <w:t>27</w:t>
      </w:r>
      <w:r w:rsidRPr="009F40FE">
        <w:rPr>
          <w:rFonts w:ascii="Times New Roman" w:hAnsi="Times New Roman" w:cs="Times New Roman"/>
          <w:i/>
          <w:sz w:val="24"/>
          <w:szCs w:val="24"/>
        </w:rPr>
        <w:t>(9), 1202-1213.</w:t>
      </w:r>
    </w:p>
    <w:p w:rsidR="00912DBC" w:rsidRPr="0096124C" w:rsidRDefault="00912DBC" w:rsidP="00912DBC">
      <w:pPr>
        <w:spacing w:line="480" w:lineRule="auto"/>
        <w:ind w:left="720" w:hanging="720"/>
        <w:rPr>
          <w:rFonts w:ascii="Times New Roman" w:hAnsi="Times New Roman" w:cs="Times New Roman"/>
          <w:i/>
          <w:sz w:val="24"/>
          <w:szCs w:val="24"/>
        </w:rPr>
      </w:pPr>
      <w:r w:rsidRPr="0096124C">
        <w:rPr>
          <w:rFonts w:ascii="Times New Roman" w:hAnsi="Times New Roman" w:cs="Times New Roman"/>
          <w:i/>
          <w:sz w:val="24"/>
          <w:szCs w:val="24"/>
        </w:rPr>
        <w:t xml:space="preserve">Kuna, L., </w:t>
      </w:r>
      <w:proofErr w:type="spellStart"/>
      <w:r w:rsidRPr="0096124C">
        <w:rPr>
          <w:rFonts w:ascii="Times New Roman" w:hAnsi="Times New Roman" w:cs="Times New Roman"/>
          <w:i/>
          <w:sz w:val="24"/>
          <w:szCs w:val="24"/>
        </w:rPr>
        <w:t>Jakab</w:t>
      </w:r>
      <w:proofErr w:type="spellEnd"/>
      <w:r w:rsidRPr="0096124C">
        <w:rPr>
          <w:rFonts w:ascii="Times New Roman" w:hAnsi="Times New Roman" w:cs="Times New Roman"/>
          <w:i/>
          <w:sz w:val="24"/>
          <w:szCs w:val="24"/>
        </w:rPr>
        <w:t xml:space="preserve">, J., </w:t>
      </w:r>
      <w:proofErr w:type="spellStart"/>
      <w:r w:rsidRPr="0096124C">
        <w:rPr>
          <w:rFonts w:ascii="Times New Roman" w:hAnsi="Times New Roman" w:cs="Times New Roman"/>
          <w:i/>
          <w:sz w:val="24"/>
          <w:szCs w:val="24"/>
        </w:rPr>
        <w:t>Smolic</w:t>
      </w:r>
      <w:proofErr w:type="spellEnd"/>
      <w:r w:rsidRPr="0096124C">
        <w:rPr>
          <w:rFonts w:ascii="Times New Roman" w:hAnsi="Times New Roman" w:cs="Times New Roman"/>
          <w:i/>
          <w:sz w:val="24"/>
          <w:szCs w:val="24"/>
        </w:rPr>
        <w:t xml:space="preserve">, R., </w:t>
      </w:r>
      <w:proofErr w:type="spellStart"/>
      <w:r w:rsidRPr="0096124C">
        <w:rPr>
          <w:rFonts w:ascii="Times New Roman" w:hAnsi="Times New Roman" w:cs="Times New Roman"/>
          <w:i/>
          <w:sz w:val="24"/>
          <w:szCs w:val="24"/>
        </w:rPr>
        <w:t>Raguz-Lucic</w:t>
      </w:r>
      <w:proofErr w:type="spellEnd"/>
      <w:r w:rsidRPr="0096124C">
        <w:rPr>
          <w:rFonts w:ascii="Times New Roman" w:hAnsi="Times New Roman" w:cs="Times New Roman"/>
          <w:i/>
          <w:sz w:val="24"/>
          <w:szCs w:val="24"/>
        </w:rPr>
        <w:t xml:space="preserve">, N., </w:t>
      </w:r>
      <w:proofErr w:type="spellStart"/>
      <w:r w:rsidRPr="0096124C">
        <w:rPr>
          <w:rFonts w:ascii="Times New Roman" w:hAnsi="Times New Roman" w:cs="Times New Roman"/>
          <w:i/>
          <w:sz w:val="24"/>
          <w:szCs w:val="24"/>
        </w:rPr>
        <w:t>Vcev</w:t>
      </w:r>
      <w:proofErr w:type="spellEnd"/>
      <w:r w:rsidRPr="0096124C">
        <w:rPr>
          <w:rFonts w:ascii="Times New Roman" w:hAnsi="Times New Roman" w:cs="Times New Roman"/>
          <w:i/>
          <w:sz w:val="24"/>
          <w:szCs w:val="24"/>
        </w:rPr>
        <w:t xml:space="preserve">, A., &amp; </w:t>
      </w:r>
      <w:proofErr w:type="spellStart"/>
      <w:r w:rsidRPr="0096124C">
        <w:rPr>
          <w:rFonts w:ascii="Times New Roman" w:hAnsi="Times New Roman" w:cs="Times New Roman"/>
          <w:i/>
          <w:sz w:val="24"/>
          <w:szCs w:val="24"/>
        </w:rPr>
        <w:t>Smolic</w:t>
      </w:r>
      <w:proofErr w:type="spellEnd"/>
      <w:r w:rsidRPr="0096124C">
        <w:rPr>
          <w:rFonts w:ascii="Times New Roman" w:hAnsi="Times New Roman" w:cs="Times New Roman"/>
          <w:i/>
          <w:sz w:val="24"/>
          <w:szCs w:val="24"/>
        </w:rPr>
        <w:t>, M. (2019). Peptic ulcer disease: a brief review of conventional therapy and herbal treatment options. </w:t>
      </w:r>
      <w:r w:rsidRPr="0096124C">
        <w:rPr>
          <w:rFonts w:ascii="Times New Roman" w:hAnsi="Times New Roman" w:cs="Times New Roman"/>
          <w:i/>
          <w:iCs/>
          <w:sz w:val="24"/>
          <w:szCs w:val="24"/>
        </w:rPr>
        <w:t>Journal of clinical medicine</w:t>
      </w:r>
      <w:r w:rsidRPr="0096124C">
        <w:rPr>
          <w:rFonts w:ascii="Times New Roman" w:hAnsi="Times New Roman" w:cs="Times New Roman"/>
          <w:i/>
          <w:sz w:val="24"/>
          <w:szCs w:val="24"/>
        </w:rPr>
        <w:t>, </w:t>
      </w:r>
      <w:r w:rsidRPr="0096124C">
        <w:rPr>
          <w:rFonts w:ascii="Times New Roman" w:hAnsi="Times New Roman" w:cs="Times New Roman"/>
          <w:i/>
          <w:iCs/>
          <w:sz w:val="24"/>
          <w:szCs w:val="24"/>
        </w:rPr>
        <w:t>8</w:t>
      </w:r>
      <w:r w:rsidRPr="0096124C">
        <w:rPr>
          <w:rFonts w:ascii="Times New Roman" w:hAnsi="Times New Roman" w:cs="Times New Roman"/>
          <w:i/>
          <w:sz w:val="24"/>
          <w:szCs w:val="24"/>
        </w:rPr>
        <w:t>(2), 179.</w:t>
      </w:r>
    </w:p>
    <w:p w:rsidR="00912DBC" w:rsidRPr="0096124C" w:rsidRDefault="00912DBC" w:rsidP="00912DBC">
      <w:pPr>
        <w:spacing w:line="480" w:lineRule="auto"/>
        <w:ind w:left="720" w:hanging="720"/>
        <w:rPr>
          <w:rFonts w:ascii="Times New Roman" w:hAnsi="Times New Roman" w:cs="Times New Roman"/>
          <w:i/>
          <w:sz w:val="24"/>
          <w:szCs w:val="24"/>
        </w:rPr>
      </w:pPr>
      <w:r w:rsidRPr="0096124C">
        <w:rPr>
          <w:rFonts w:ascii="Times New Roman" w:hAnsi="Times New Roman" w:cs="Times New Roman"/>
          <w:i/>
          <w:sz w:val="24"/>
          <w:szCs w:val="24"/>
        </w:rPr>
        <w:t>Zatorski, H. (2017). Pathophysiology and risk factors in peptic ulcer disease. In </w:t>
      </w:r>
      <w:r w:rsidRPr="0096124C">
        <w:rPr>
          <w:rFonts w:ascii="Times New Roman" w:hAnsi="Times New Roman" w:cs="Times New Roman"/>
          <w:i/>
          <w:iCs/>
          <w:sz w:val="24"/>
          <w:szCs w:val="24"/>
        </w:rPr>
        <w:t>Introduction to Gastrointestinal Diseases Vol. 2</w:t>
      </w:r>
      <w:r w:rsidRPr="0096124C">
        <w:rPr>
          <w:rFonts w:ascii="Times New Roman" w:hAnsi="Times New Roman" w:cs="Times New Roman"/>
          <w:i/>
          <w:sz w:val="24"/>
          <w:szCs w:val="24"/>
        </w:rPr>
        <w:t> (pp. 7-20). Springer, Cham.</w:t>
      </w:r>
    </w:p>
    <w:sectPr w:rsidR="00912DBC" w:rsidRPr="0096124C" w:rsidSect="00912DBC">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EAC" w:rsidRDefault="00BD2EAC" w:rsidP="00912DBC">
      <w:pPr>
        <w:spacing w:after="0" w:line="240" w:lineRule="auto"/>
      </w:pPr>
      <w:r>
        <w:separator/>
      </w:r>
    </w:p>
  </w:endnote>
  <w:endnote w:type="continuationSeparator" w:id="0">
    <w:p w:rsidR="00BD2EAC" w:rsidRDefault="00BD2EAC" w:rsidP="0091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24C" w:rsidRDefault="0096124C" w:rsidP="0096124C">
    <w:pPr>
      <w:pStyle w:val="Footer"/>
      <w:tabs>
        <w:tab w:val="clear" w:pos="4680"/>
        <w:tab w:val="clear" w:pos="9360"/>
        <w:tab w:val="left" w:pos="400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EAC" w:rsidRDefault="00BD2EAC" w:rsidP="00912DBC">
      <w:pPr>
        <w:spacing w:after="0" w:line="240" w:lineRule="auto"/>
      </w:pPr>
      <w:r>
        <w:separator/>
      </w:r>
    </w:p>
  </w:footnote>
  <w:footnote w:type="continuationSeparator" w:id="0">
    <w:p w:rsidR="00BD2EAC" w:rsidRDefault="00BD2EAC" w:rsidP="00912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9455835"/>
      <w:docPartObj>
        <w:docPartGallery w:val="Page Numbers (Top of Page)"/>
        <w:docPartUnique/>
      </w:docPartObj>
    </w:sdtPr>
    <w:sdtEndPr>
      <w:rPr>
        <w:noProof/>
      </w:rPr>
    </w:sdtEndPr>
    <w:sdtContent>
      <w:p w:rsidR="00912DBC" w:rsidRPr="0096124C" w:rsidRDefault="0096124C" w:rsidP="0096124C">
        <w:pPr>
          <w:pStyle w:val="Header"/>
          <w:rPr>
            <w:rFonts w:ascii="Times New Roman" w:hAnsi="Times New Roman" w:cs="Times New Roman"/>
            <w:sz w:val="24"/>
            <w:szCs w:val="24"/>
          </w:rPr>
        </w:pPr>
        <w:r w:rsidRPr="00912DBC">
          <w:rPr>
            <w:rFonts w:ascii="Times New Roman" w:hAnsi="Times New Roman" w:cs="Times New Roman"/>
            <w:sz w:val="24"/>
            <w:szCs w:val="24"/>
          </w:rPr>
          <w:t>PATHOPHYSIO</w:t>
        </w:r>
        <w:r>
          <w:rPr>
            <w:rFonts w:ascii="Times New Roman" w:hAnsi="Times New Roman" w:cs="Times New Roman"/>
            <w:sz w:val="24"/>
            <w:szCs w:val="24"/>
          </w:rPr>
          <w:t xml:space="preserve">LOGY OF PEPTIC ULCER DISEASE </w:t>
        </w:r>
        <w:r w:rsidRPr="00912DBC">
          <w:rPr>
            <w:rFonts w:ascii="Times New Roman" w:hAnsi="Times New Roman" w:cs="Times New Roman"/>
            <w:sz w:val="24"/>
            <w:szCs w:val="24"/>
          </w:rPr>
          <w:t>COMPARED TO GERD</w:t>
        </w:r>
        <w:r>
          <w:rPr>
            <w:rFonts w:ascii="Times New Roman" w:hAnsi="Times New Roman" w:cs="Times New Roman"/>
            <w:sz w:val="24"/>
            <w:szCs w:val="24"/>
          </w:rPr>
          <w:t xml:space="preserve">                     </w:t>
        </w:r>
        <w:r w:rsidR="00912DBC">
          <w:fldChar w:fldCharType="begin"/>
        </w:r>
        <w:r w:rsidR="00912DBC">
          <w:instrText xml:space="preserve"> PAGE   \* MERGEFORMAT </w:instrText>
        </w:r>
        <w:r w:rsidR="00912DBC">
          <w:fldChar w:fldCharType="separate"/>
        </w:r>
        <w:r w:rsidR="000604A8">
          <w:rPr>
            <w:noProof/>
          </w:rPr>
          <w:t>4</w:t>
        </w:r>
        <w:r w:rsidR="00912DBC">
          <w:rPr>
            <w:noProof/>
          </w:rPr>
          <w:fldChar w:fldCharType="end"/>
        </w:r>
      </w:p>
    </w:sdtContent>
  </w:sdt>
  <w:p w:rsidR="00912DBC" w:rsidRPr="00912DBC" w:rsidRDefault="00912D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2DBC" w:rsidRPr="000604A8" w:rsidRDefault="00912DBC" w:rsidP="0096124C">
    <w:pPr>
      <w:pStyle w:val="Header"/>
      <w:rPr>
        <w:rFonts w:ascii="Times New Roman" w:hAnsi="Times New Roman" w:cs="Times New Roman"/>
      </w:rPr>
    </w:pPr>
    <w:r w:rsidRPr="000604A8">
      <w:rPr>
        <w:rFonts w:ascii="Times New Roman" w:hAnsi="Times New Roman" w:cs="Times New Roman"/>
        <w:sz w:val="24"/>
        <w:szCs w:val="24"/>
      </w:rPr>
      <w:t>Running Head:</w:t>
    </w:r>
    <w:r w:rsidRPr="000604A8">
      <w:rPr>
        <w:rFonts w:ascii="Times New Roman" w:hAnsi="Times New Roman" w:cs="Times New Roman"/>
      </w:rPr>
      <w:t xml:space="preserve"> PATHOPHYSIOLOGY OF PEPTIC ULCER DISEASE </w:t>
    </w:r>
    <w:r w:rsidR="000604A8">
      <w:rPr>
        <w:rFonts w:ascii="Times New Roman" w:hAnsi="Times New Roman" w:cs="Times New Roman"/>
      </w:rPr>
      <w:t>COMPARED TO GERD        1</w:t>
    </w:r>
  </w:p>
  <w:p w:rsidR="00912DBC" w:rsidRPr="00912DBC" w:rsidRDefault="00912DB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1F7"/>
    <w:rsid w:val="00054FD1"/>
    <w:rsid w:val="000604A8"/>
    <w:rsid w:val="001428FC"/>
    <w:rsid w:val="00256CB3"/>
    <w:rsid w:val="00273E6F"/>
    <w:rsid w:val="002C5836"/>
    <w:rsid w:val="00304987"/>
    <w:rsid w:val="00316D06"/>
    <w:rsid w:val="006242F2"/>
    <w:rsid w:val="006C28FB"/>
    <w:rsid w:val="00776C92"/>
    <w:rsid w:val="0084287A"/>
    <w:rsid w:val="00912DBC"/>
    <w:rsid w:val="009239F1"/>
    <w:rsid w:val="0096124C"/>
    <w:rsid w:val="0097428B"/>
    <w:rsid w:val="009C33B8"/>
    <w:rsid w:val="009D5DA4"/>
    <w:rsid w:val="009F40FE"/>
    <w:rsid w:val="00BB4588"/>
    <w:rsid w:val="00BD2EAC"/>
    <w:rsid w:val="00C36F4E"/>
    <w:rsid w:val="00DB1AF7"/>
    <w:rsid w:val="00E57189"/>
    <w:rsid w:val="00E8631F"/>
    <w:rsid w:val="00F5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420B8-11AF-4DB5-9884-F3943B8B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DBC"/>
  </w:style>
  <w:style w:type="paragraph" w:styleId="Footer">
    <w:name w:val="footer"/>
    <w:basedOn w:val="Normal"/>
    <w:link w:val="FooterChar"/>
    <w:uiPriority w:val="99"/>
    <w:unhideWhenUsed/>
    <w:rsid w:val="00912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6</cp:revision>
  <dcterms:created xsi:type="dcterms:W3CDTF">2020-08-27T19:43:00Z</dcterms:created>
  <dcterms:modified xsi:type="dcterms:W3CDTF">2020-08-27T19:53:00Z</dcterms:modified>
</cp:coreProperties>
</file>